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ED7D31" w:themeColor="accent2"/>
        </w:rPr>
        <w:id w:val="216171269"/>
        <w:docPartObj>
          <w:docPartGallery w:val="Cover Pages"/>
          <w:docPartUnique/>
        </w:docPartObj>
      </w:sdtPr>
      <w:sdtEndPr/>
      <w:sdtContent>
        <w:p w14:paraId="608F9436" w14:textId="2121B4D7" w:rsidR="00E93AF6" w:rsidRPr="004B7AAE" w:rsidRDefault="00D65696" w:rsidP="00683C3D">
          <w:pPr>
            <w:rPr>
              <w:color w:val="ED7D31" w:themeColor="accent2"/>
            </w:rPr>
          </w:pPr>
          <w:r w:rsidRPr="004B7AAE">
            <w:rPr>
              <w:noProof/>
              <w:color w:val="ED7D31" w:themeColor="accent2"/>
            </w:rPr>
            <w:drawing>
              <wp:anchor distT="0" distB="0" distL="114300" distR="114300" simplePos="0" relativeHeight="251658240" behindDoc="0" locked="0" layoutInCell="1" allowOverlap="1" wp14:anchorId="39F1B68F" wp14:editId="25F07DA3">
                <wp:simplePos x="0" y="0"/>
                <wp:positionH relativeFrom="margin">
                  <wp:posOffset>2460625</wp:posOffset>
                </wp:positionH>
                <wp:positionV relativeFrom="paragraph">
                  <wp:posOffset>41910</wp:posOffset>
                </wp:positionV>
                <wp:extent cx="1043940" cy="1304925"/>
                <wp:effectExtent l="0" t="0" r="3810" b="9525"/>
                <wp:wrapTight wrapText="bothSides">
                  <wp:wrapPolygon edited="0">
                    <wp:start x="0" y="0"/>
                    <wp:lineTo x="0" y="10091"/>
                    <wp:lineTo x="2365" y="15136"/>
                    <wp:lineTo x="6701" y="20181"/>
                    <wp:lineTo x="8672" y="21442"/>
                    <wp:lineTo x="9066" y="21442"/>
                    <wp:lineTo x="11431" y="21442"/>
                    <wp:lineTo x="11825" y="21442"/>
                    <wp:lineTo x="13796" y="20181"/>
                    <wp:lineTo x="18526" y="15136"/>
                    <wp:lineTo x="20891" y="10091"/>
                    <wp:lineTo x="21285" y="6307"/>
                    <wp:lineTo x="21285" y="0"/>
                    <wp:lineTo x="0" y="0"/>
                  </wp:wrapPolygon>
                </wp:wrapTight>
                <wp:docPr id="1831627170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94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B42E866" w14:textId="3EC496E5" w:rsidR="004B7AAE" w:rsidRPr="004B7AAE" w:rsidRDefault="004B7AAE">
          <w:pPr>
            <w:rPr>
              <w:color w:val="ED7D31" w:themeColor="accent2"/>
            </w:rPr>
          </w:pPr>
        </w:p>
        <w:p w14:paraId="5A4E8D4F" w14:textId="5FD8D81F" w:rsidR="004B7AAE" w:rsidRPr="004B7AAE" w:rsidRDefault="004B7AAE">
          <w:pPr>
            <w:rPr>
              <w:color w:val="ED7D31" w:themeColor="accent2"/>
            </w:rPr>
          </w:pPr>
        </w:p>
        <w:p w14:paraId="057CBCE2" w14:textId="7FA608D1" w:rsidR="004B7AAE" w:rsidRPr="004B7AAE" w:rsidRDefault="004B7AAE">
          <w:pPr>
            <w:rPr>
              <w:color w:val="ED7D31" w:themeColor="accent2"/>
            </w:rPr>
          </w:pPr>
        </w:p>
        <w:p w14:paraId="668479F8" w14:textId="71749915" w:rsidR="00543FF9" w:rsidRDefault="00543FF9" w:rsidP="000B3702">
          <w:pPr>
            <w:jc w:val="center"/>
            <w:rPr>
              <w:color w:val="ED7D31" w:themeColor="accent2"/>
            </w:rPr>
          </w:pPr>
        </w:p>
        <w:p w14:paraId="7E19B87B" w14:textId="3A4B28DB" w:rsidR="00543FF9" w:rsidRDefault="00D65696" w:rsidP="000B3702">
          <w:pPr>
            <w:jc w:val="center"/>
            <w:rPr>
              <w:color w:val="ED7D31" w:themeColor="accent2"/>
            </w:rPr>
          </w:pPr>
          <w:r w:rsidRPr="000543D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D839F71" wp14:editId="7CB9CEEF">
                    <wp:simplePos x="0" y="0"/>
                    <wp:positionH relativeFrom="margin">
                      <wp:posOffset>-53340</wp:posOffset>
                    </wp:positionH>
                    <wp:positionV relativeFrom="paragraph">
                      <wp:posOffset>202565</wp:posOffset>
                    </wp:positionV>
                    <wp:extent cx="5867400" cy="3948430"/>
                    <wp:effectExtent l="247650" t="190500" r="0" b="261620"/>
                    <wp:wrapNone/>
                    <wp:docPr id="5555246" name="Hjerte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867400" cy="3948430"/>
                            </a:xfrm>
                            <a:custGeom>
                              <a:avLst/>
                              <a:gdLst>
                                <a:gd name="connsiteX0" fmla="*/ 2933700 w 5867400"/>
                                <a:gd name="connsiteY0" fmla="*/ 987108 h 3948430"/>
                                <a:gd name="connsiteX1" fmla="*/ 2933700 w 5867400"/>
                                <a:gd name="connsiteY1" fmla="*/ 3948430 h 3948430"/>
                                <a:gd name="connsiteX2" fmla="*/ 2933700 w 5867400"/>
                                <a:gd name="connsiteY2" fmla="*/ 987108 h 39484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5867400" h="3948430" extrusionOk="0">
                                  <a:moveTo>
                                    <a:pt x="2933700" y="987108"/>
                                  </a:moveTo>
                                  <a:cubicBezTo>
                                    <a:pt x="4773872" y="-861888"/>
                                    <a:pt x="7704563" y="1405575"/>
                                    <a:pt x="2933700" y="3948430"/>
                                  </a:cubicBezTo>
                                  <a:cubicBezTo>
                                    <a:pt x="-3247134" y="1228388"/>
                                    <a:pt x="2108903" y="-1359377"/>
                                    <a:pt x="2933700" y="987108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57150">
                              <a:solidFill>
                                <a:srgbClr val="0070C0"/>
                              </a:solidFill>
                              <a:extLst>
                                <a:ext uri="{C807C97D-BFC1-408E-A445-0C87EB9F89A2}">
                                  <ask:lineSketchStyleProps xmlns:ask="http://schemas.microsoft.com/office/drawing/2018/sketchyshapes" sd="3130301792">
                                    <a:prstGeom prst="heart">
                                      <a:avLst/>
                                    </a:prstGeom>
                                    <ask:type>
                                      <ask:lineSketchFreehand/>
                                    </ask:type>
                                  </ask:lineSketchStyleProps>
                                </a:ext>
                              </a:extLst>
                            </a:ln>
                            <a:effectLst>
                              <a:glow rad="228600">
                                <a:schemeClr val="accent1">
                                  <a:satMod val="175000"/>
                                  <a:alpha val="40000"/>
                                </a:scheme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3AF25C5" id="Hjerte 7" o:spid="_x0000_s1026" style="position:absolute;margin-left:-4.2pt;margin-top:15.95pt;width:462pt;height:310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867400,394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" path="m2933700,987108v1222375,-2303251,5989638,,,2961322c-3055938,987108,1711325,-1316143,2933700,987108xe" filled="f" strokecolor="#0070c0" strokeweight="4.5pt">
                    <v:stroke joinstyle="miter"/>
                    <v:path arrowok="t" o:connecttype="custom" o:connectlocs="2933700,987108;2933700,3948430;2933700,987108" o:connectangles="0,0,0"/>
                    <w10:wrap anchorx="margin"/>
                  </v:shape>
                </w:pict>
              </mc:Fallback>
            </mc:AlternateContent>
          </w:r>
        </w:p>
        <w:p w14:paraId="28F0485D" w14:textId="74F57B30" w:rsidR="00D65696" w:rsidRDefault="00D65696" w:rsidP="00543FF9">
          <w:pPr>
            <w:jc w:val="center"/>
            <w:rPr>
              <w:b/>
              <w:bCs/>
              <w:sz w:val="48"/>
              <w:szCs w:val="48"/>
            </w:rPr>
          </w:pPr>
        </w:p>
        <w:p w14:paraId="2F471BA5" w14:textId="1B2B1E61" w:rsidR="00D65696" w:rsidRDefault="00D65696" w:rsidP="00543FF9">
          <w:pPr>
            <w:jc w:val="center"/>
            <w:rPr>
              <w:b/>
              <w:bCs/>
              <w:sz w:val="48"/>
              <w:szCs w:val="48"/>
            </w:rPr>
          </w:pPr>
        </w:p>
        <w:p w14:paraId="497BCA0D" w14:textId="4D6C5295" w:rsidR="00543FF9" w:rsidRDefault="002010CF" w:rsidP="002010CF">
          <w:pPr>
            <w:jc w:val="center"/>
            <w:rPr>
              <w:b/>
              <w:bCs/>
              <w:sz w:val="48"/>
              <w:szCs w:val="48"/>
            </w:rPr>
          </w:pPr>
          <w:r>
            <w:rPr>
              <w:b/>
              <w:bCs/>
              <w:sz w:val="48"/>
              <w:szCs w:val="48"/>
            </w:rPr>
            <w:t>Forskrift for hovedmål i skolene i Loppa</w:t>
          </w:r>
        </w:p>
        <w:p w14:paraId="23263546" w14:textId="77777777" w:rsidR="002010CF" w:rsidRDefault="002010CF" w:rsidP="002010CF">
          <w:pPr>
            <w:jc w:val="center"/>
            <w:rPr>
              <w:b/>
              <w:bCs/>
              <w:sz w:val="48"/>
              <w:szCs w:val="48"/>
            </w:rPr>
          </w:pPr>
        </w:p>
        <w:p w14:paraId="2D033408" w14:textId="6A001CFC" w:rsidR="00543FF9" w:rsidRPr="00B325F2" w:rsidRDefault="00543FF9" w:rsidP="00543FF9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sz w:val="24"/>
              <w:szCs w:val="24"/>
            </w:rPr>
            <w:t>Gjeldende fra 01.08.24</w:t>
          </w:r>
        </w:p>
        <w:p w14:paraId="68FF213A" w14:textId="77777777" w:rsidR="00BC5A34" w:rsidRDefault="00BC5A34" w:rsidP="000B3702">
          <w:pPr>
            <w:jc w:val="center"/>
            <w:rPr>
              <w:color w:val="ED7D31" w:themeColor="accent2"/>
            </w:rPr>
          </w:pPr>
        </w:p>
        <w:p w14:paraId="110711FB" w14:textId="77777777" w:rsidR="00BC5A34" w:rsidRDefault="00BC5A34" w:rsidP="000B3702">
          <w:pPr>
            <w:jc w:val="center"/>
            <w:rPr>
              <w:color w:val="ED7D31" w:themeColor="accent2"/>
            </w:rPr>
          </w:pPr>
        </w:p>
        <w:p w14:paraId="3AEA9C9C" w14:textId="77777777" w:rsidR="00BC5A34" w:rsidRDefault="00BC5A34" w:rsidP="000B3702">
          <w:pPr>
            <w:jc w:val="center"/>
            <w:rPr>
              <w:color w:val="ED7D31" w:themeColor="accent2"/>
            </w:rPr>
          </w:pPr>
        </w:p>
        <w:p w14:paraId="30520347" w14:textId="77777777" w:rsidR="00BC5A34" w:rsidRDefault="00BC5A34" w:rsidP="000B3702">
          <w:pPr>
            <w:jc w:val="center"/>
            <w:rPr>
              <w:color w:val="ED7D31" w:themeColor="accent2"/>
            </w:rPr>
          </w:pPr>
        </w:p>
        <w:p w14:paraId="2478AED5" w14:textId="77777777" w:rsidR="00BC5A34" w:rsidRDefault="00BC5A34" w:rsidP="000B3702">
          <w:pPr>
            <w:jc w:val="center"/>
            <w:rPr>
              <w:color w:val="ED7D31" w:themeColor="accent2"/>
            </w:rPr>
          </w:pPr>
        </w:p>
        <w:p w14:paraId="2B82D3E4" w14:textId="77777777" w:rsidR="00BC5A34" w:rsidRDefault="00BC5A34" w:rsidP="000B3702">
          <w:pPr>
            <w:jc w:val="center"/>
            <w:rPr>
              <w:color w:val="ED7D31" w:themeColor="accent2"/>
            </w:rPr>
          </w:pPr>
        </w:p>
        <w:p w14:paraId="1E88DC61" w14:textId="77777777" w:rsidR="00BC5A34" w:rsidRDefault="00BC5A34" w:rsidP="000B3702">
          <w:pPr>
            <w:jc w:val="center"/>
            <w:rPr>
              <w:color w:val="ED7D31" w:themeColor="accent2"/>
            </w:rPr>
          </w:pPr>
        </w:p>
        <w:p w14:paraId="27EC999C" w14:textId="77777777" w:rsidR="00BC5A34" w:rsidRDefault="00BC5A34" w:rsidP="000B3702">
          <w:pPr>
            <w:jc w:val="center"/>
            <w:rPr>
              <w:color w:val="ED7D31" w:themeColor="accent2"/>
            </w:rPr>
          </w:pPr>
        </w:p>
        <w:p w14:paraId="022362D9" w14:textId="77777777" w:rsidR="00BC5A34" w:rsidRDefault="00BC5A34" w:rsidP="000B3702">
          <w:pPr>
            <w:jc w:val="center"/>
            <w:rPr>
              <w:color w:val="ED7D31" w:themeColor="accent2"/>
            </w:rPr>
          </w:pPr>
        </w:p>
        <w:p w14:paraId="2293C7E5" w14:textId="2C4E5321" w:rsidR="00BC5A34" w:rsidRDefault="00FA5445" w:rsidP="00BC5A34">
          <w:pPr>
            <w:pStyle w:val="Overskrift2"/>
          </w:pPr>
          <w:r>
            <w:t>Forskrift om hovedmål i skolene i Loppa</w:t>
          </w:r>
        </w:p>
        <w:p w14:paraId="1A68645A" w14:textId="6877BD52" w:rsidR="00BC5A34" w:rsidRDefault="00BC5A34" w:rsidP="00BC5A34">
          <w:r>
            <w:t>Komm</w:t>
          </w:r>
          <w:r w:rsidR="00A86DE2">
            <w:t>un</w:t>
          </w:r>
          <w:r>
            <w:t>en skal fastsette vedtekter</w:t>
          </w:r>
          <w:r w:rsidR="00A86DE2">
            <w:t xml:space="preserve"> for </w:t>
          </w:r>
          <w:r w:rsidR="002010CF">
            <w:t xml:space="preserve">hovedmål i </w:t>
          </w:r>
          <w:r w:rsidR="00FA5445">
            <w:t xml:space="preserve">skolen jfr. </w:t>
          </w:r>
          <w:r w:rsidR="00B508CA">
            <w:t>§</w:t>
          </w:r>
          <w:r w:rsidR="00B544D0">
            <w:t>3-1</w:t>
          </w:r>
          <w:r w:rsidR="00B508CA">
            <w:t xml:space="preserve"> i </w:t>
          </w:r>
          <w:r w:rsidR="002C0B11">
            <w:t>Opplæringsloven av 2024</w:t>
          </w:r>
        </w:p>
        <w:p w14:paraId="6A03F070" w14:textId="37ABEF49" w:rsidR="00CB3AA0" w:rsidRDefault="002010CF">
          <w:r>
            <w:t>Forskriften</w:t>
          </w:r>
          <w:r w:rsidR="00BC5A34">
            <w:t xml:space="preserve"> er vedtatt av kommunestyret _________, sak _________. </w:t>
          </w:r>
          <w:r w:rsidR="00FA5445">
            <w:t xml:space="preserve">Denne forskriften </w:t>
          </w:r>
          <w:r w:rsidR="00BC5A34">
            <w:t>er gjeldende fra og med 01.08.2024.</w:t>
          </w:r>
          <w:r w:rsidR="00E93AF6" w:rsidRPr="004B7AAE">
            <w:rPr>
              <w:color w:val="ED7D31" w:themeColor="accent2"/>
            </w:rPr>
            <w:br w:type="page"/>
          </w:r>
        </w:p>
      </w:sdtContent>
    </w:sdt>
    <w:p w14:paraId="15097F3D" w14:textId="762C3889" w:rsidR="00CB3AA0" w:rsidRPr="00421C63" w:rsidRDefault="00B744D2" w:rsidP="003D2657">
      <w:pPr>
        <w:pStyle w:val="Overskrift2"/>
      </w:pPr>
      <w:r>
        <w:lastRenderedPageBreak/>
        <w:t>§</w:t>
      </w:r>
      <w:r w:rsidR="00CB3AA0" w:rsidRPr="00421C63">
        <w:t>1</w:t>
      </w:r>
      <w:r w:rsidR="003D2657">
        <w:t xml:space="preserve"> </w:t>
      </w:r>
      <w:r w:rsidR="00DE167E">
        <w:t>Hvem bestemmelsene omfatter</w:t>
      </w:r>
    </w:p>
    <w:p w14:paraId="3013EE7B" w14:textId="0FA87A2F" w:rsidR="00CB3AA0" w:rsidRDefault="00DE167E">
      <w:r>
        <w:t xml:space="preserve">Bestemmelsene i denne forskriften omfatter Høgtun skole og Bergsfjord oppvekstsenter </w:t>
      </w:r>
    </w:p>
    <w:p w14:paraId="1F0354F6" w14:textId="4FFD0511" w:rsidR="00CB3AA0" w:rsidRDefault="003D2657" w:rsidP="003D2657">
      <w:pPr>
        <w:pStyle w:val="Overskrift2"/>
      </w:pPr>
      <w:r>
        <w:t xml:space="preserve">§2 </w:t>
      </w:r>
      <w:r w:rsidR="00DE167E">
        <w:t>Hovedmål</w:t>
      </w:r>
    </w:p>
    <w:p w14:paraId="0C7FB903" w14:textId="59E07840" w:rsidR="00DE167E" w:rsidRPr="00DE167E" w:rsidRDefault="00DE167E" w:rsidP="00DE167E">
      <w:r>
        <w:t>Hovedmålet ved skolene er bokmål</w:t>
      </w:r>
    </w:p>
    <w:sectPr w:rsidR="00DE167E" w:rsidRPr="00DE167E" w:rsidSect="0060236C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7D196" w14:textId="77777777" w:rsidR="0060236C" w:rsidRDefault="0060236C" w:rsidP="00BA0B8C">
      <w:pPr>
        <w:spacing w:after="0" w:line="240" w:lineRule="auto"/>
      </w:pPr>
      <w:r>
        <w:separator/>
      </w:r>
    </w:p>
  </w:endnote>
  <w:endnote w:type="continuationSeparator" w:id="0">
    <w:p w14:paraId="7E5114C9" w14:textId="77777777" w:rsidR="0060236C" w:rsidRDefault="0060236C" w:rsidP="00BA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7782786"/>
      <w:docPartObj>
        <w:docPartGallery w:val="Page Numbers (Bottom of Page)"/>
        <w:docPartUnique/>
      </w:docPartObj>
    </w:sdtPr>
    <w:sdtEndPr/>
    <w:sdtContent>
      <w:p w14:paraId="1DF326D8" w14:textId="7D2C213D" w:rsidR="00BA0B8C" w:rsidRDefault="00BA0B8C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01F01F" w14:textId="77777777" w:rsidR="00BA0B8C" w:rsidRDefault="00BA0B8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5358A" w14:textId="77777777" w:rsidR="0060236C" w:rsidRDefault="0060236C" w:rsidP="00BA0B8C">
      <w:pPr>
        <w:spacing w:after="0" w:line="240" w:lineRule="auto"/>
      </w:pPr>
      <w:r>
        <w:separator/>
      </w:r>
    </w:p>
  </w:footnote>
  <w:footnote w:type="continuationSeparator" w:id="0">
    <w:p w14:paraId="7EE39C6F" w14:textId="77777777" w:rsidR="0060236C" w:rsidRDefault="0060236C" w:rsidP="00BA0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2E1B"/>
    <w:multiLevelType w:val="hybridMultilevel"/>
    <w:tmpl w:val="160C1D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86B4B"/>
    <w:multiLevelType w:val="hybridMultilevel"/>
    <w:tmpl w:val="FA3A1C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A2BBF"/>
    <w:multiLevelType w:val="hybridMultilevel"/>
    <w:tmpl w:val="F5BEFE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05DD0"/>
    <w:multiLevelType w:val="hybridMultilevel"/>
    <w:tmpl w:val="A148B0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C46EB"/>
    <w:multiLevelType w:val="hybridMultilevel"/>
    <w:tmpl w:val="711E1DAE"/>
    <w:lvl w:ilvl="0" w:tplc="A32A288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AC7CFA"/>
    <w:multiLevelType w:val="hybridMultilevel"/>
    <w:tmpl w:val="B31604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07380"/>
    <w:multiLevelType w:val="hybridMultilevel"/>
    <w:tmpl w:val="9C8298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65B67"/>
    <w:multiLevelType w:val="hybridMultilevel"/>
    <w:tmpl w:val="A02C5F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C6C69"/>
    <w:multiLevelType w:val="hybridMultilevel"/>
    <w:tmpl w:val="83F01A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C7A3F"/>
    <w:multiLevelType w:val="hybridMultilevel"/>
    <w:tmpl w:val="709A2B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119391">
    <w:abstractNumId w:val="2"/>
  </w:num>
  <w:num w:numId="2" w16cid:durableId="587346051">
    <w:abstractNumId w:val="1"/>
  </w:num>
  <w:num w:numId="3" w16cid:durableId="1401438722">
    <w:abstractNumId w:val="6"/>
  </w:num>
  <w:num w:numId="4" w16cid:durableId="64842655">
    <w:abstractNumId w:val="9"/>
  </w:num>
  <w:num w:numId="5" w16cid:durableId="1964001498">
    <w:abstractNumId w:val="5"/>
  </w:num>
  <w:num w:numId="6" w16cid:durableId="72626307">
    <w:abstractNumId w:val="4"/>
  </w:num>
  <w:num w:numId="7" w16cid:durableId="1645818000">
    <w:abstractNumId w:val="7"/>
  </w:num>
  <w:num w:numId="8" w16cid:durableId="2083330736">
    <w:abstractNumId w:val="0"/>
  </w:num>
  <w:num w:numId="9" w16cid:durableId="1947226204">
    <w:abstractNumId w:val="3"/>
  </w:num>
  <w:num w:numId="10" w16cid:durableId="476109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A0"/>
    <w:rsid w:val="000572C9"/>
    <w:rsid w:val="00084BB0"/>
    <w:rsid w:val="000B229B"/>
    <w:rsid w:val="000B3702"/>
    <w:rsid w:val="000C39F4"/>
    <w:rsid w:val="000D1ECA"/>
    <w:rsid w:val="000D3377"/>
    <w:rsid w:val="000E2F7B"/>
    <w:rsid w:val="001033A4"/>
    <w:rsid w:val="001054BC"/>
    <w:rsid w:val="0012685F"/>
    <w:rsid w:val="0016576A"/>
    <w:rsid w:val="001657AF"/>
    <w:rsid w:val="00167FAA"/>
    <w:rsid w:val="00173C0C"/>
    <w:rsid w:val="001856C9"/>
    <w:rsid w:val="001D7874"/>
    <w:rsid w:val="001E5752"/>
    <w:rsid w:val="001F1835"/>
    <w:rsid w:val="002010CF"/>
    <w:rsid w:val="00215DA1"/>
    <w:rsid w:val="00216180"/>
    <w:rsid w:val="0022264C"/>
    <w:rsid w:val="00243329"/>
    <w:rsid w:val="002576C0"/>
    <w:rsid w:val="00283CFD"/>
    <w:rsid w:val="00293C41"/>
    <w:rsid w:val="002944B7"/>
    <w:rsid w:val="0029616C"/>
    <w:rsid w:val="002A34E4"/>
    <w:rsid w:val="002A45C2"/>
    <w:rsid w:val="002A60D6"/>
    <w:rsid w:val="002B6402"/>
    <w:rsid w:val="002C0B11"/>
    <w:rsid w:val="002C1291"/>
    <w:rsid w:val="002E60C7"/>
    <w:rsid w:val="00300E59"/>
    <w:rsid w:val="00313CA2"/>
    <w:rsid w:val="00317231"/>
    <w:rsid w:val="00321AB4"/>
    <w:rsid w:val="00324282"/>
    <w:rsid w:val="00345CD7"/>
    <w:rsid w:val="00347851"/>
    <w:rsid w:val="003836FF"/>
    <w:rsid w:val="003B240D"/>
    <w:rsid w:val="003C381B"/>
    <w:rsid w:val="003C3E91"/>
    <w:rsid w:val="003C6A46"/>
    <w:rsid w:val="003D2657"/>
    <w:rsid w:val="003D77EB"/>
    <w:rsid w:val="003E3E6E"/>
    <w:rsid w:val="003E4857"/>
    <w:rsid w:val="003E7A5D"/>
    <w:rsid w:val="003F49CB"/>
    <w:rsid w:val="00421C63"/>
    <w:rsid w:val="0042358B"/>
    <w:rsid w:val="0043123C"/>
    <w:rsid w:val="00431EAD"/>
    <w:rsid w:val="00433591"/>
    <w:rsid w:val="00436546"/>
    <w:rsid w:val="004525A1"/>
    <w:rsid w:val="004605B3"/>
    <w:rsid w:val="00462884"/>
    <w:rsid w:val="00496CB2"/>
    <w:rsid w:val="004A1AA8"/>
    <w:rsid w:val="004B18F4"/>
    <w:rsid w:val="004B7AAE"/>
    <w:rsid w:val="004C6B8F"/>
    <w:rsid w:val="004D4652"/>
    <w:rsid w:val="004E749B"/>
    <w:rsid w:val="00521873"/>
    <w:rsid w:val="005259D1"/>
    <w:rsid w:val="00527BBD"/>
    <w:rsid w:val="00543FF9"/>
    <w:rsid w:val="00570060"/>
    <w:rsid w:val="005845B8"/>
    <w:rsid w:val="00593F66"/>
    <w:rsid w:val="005A3F58"/>
    <w:rsid w:val="005A769E"/>
    <w:rsid w:val="005F4B8D"/>
    <w:rsid w:val="0060236C"/>
    <w:rsid w:val="00602373"/>
    <w:rsid w:val="00606E09"/>
    <w:rsid w:val="00607979"/>
    <w:rsid w:val="00612A73"/>
    <w:rsid w:val="0062385F"/>
    <w:rsid w:val="006433D5"/>
    <w:rsid w:val="00665CBE"/>
    <w:rsid w:val="00682727"/>
    <w:rsid w:val="00683C3D"/>
    <w:rsid w:val="00697779"/>
    <w:rsid w:val="006B0ED5"/>
    <w:rsid w:val="006C4DED"/>
    <w:rsid w:val="006D2812"/>
    <w:rsid w:val="006E01EB"/>
    <w:rsid w:val="006F77FC"/>
    <w:rsid w:val="007015AA"/>
    <w:rsid w:val="00705E9B"/>
    <w:rsid w:val="00732638"/>
    <w:rsid w:val="007331B5"/>
    <w:rsid w:val="00745D4D"/>
    <w:rsid w:val="007577A2"/>
    <w:rsid w:val="00771231"/>
    <w:rsid w:val="00773900"/>
    <w:rsid w:val="007A22DB"/>
    <w:rsid w:val="007B5B95"/>
    <w:rsid w:val="007B5CB0"/>
    <w:rsid w:val="007C78C7"/>
    <w:rsid w:val="007D233B"/>
    <w:rsid w:val="007D7EDF"/>
    <w:rsid w:val="007E43CC"/>
    <w:rsid w:val="007E722A"/>
    <w:rsid w:val="00856FB4"/>
    <w:rsid w:val="00865AEF"/>
    <w:rsid w:val="0087054A"/>
    <w:rsid w:val="0088175C"/>
    <w:rsid w:val="008826D1"/>
    <w:rsid w:val="0089561F"/>
    <w:rsid w:val="008A7FA4"/>
    <w:rsid w:val="008B65D8"/>
    <w:rsid w:val="008C076B"/>
    <w:rsid w:val="008E16F7"/>
    <w:rsid w:val="008E680E"/>
    <w:rsid w:val="009069F1"/>
    <w:rsid w:val="00963B58"/>
    <w:rsid w:val="00970D25"/>
    <w:rsid w:val="00985C1B"/>
    <w:rsid w:val="00991EF7"/>
    <w:rsid w:val="009A1747"/>
    <w:rsid w:val="009A3ADF"/>
    <w:rsid w:val="009E4907"/>
    <w:rsid w:val="00A147B9"/>
    <w:rsid w:val="00A20B92"/>
    <w:rsid w:val="00A56F3B"/>
    <w:rsid w:val="00A62336"/>
    <w:rsid w:val="00A7565D"/>
    <w:rsid w:val="00A86DE2"/>
    <w:rsid w:val="00A9057E"/>
    <w:rsid w:val="00A9664E"/>
    <w:rsid w:val="00AA3CE5"/>
    <w:rsid w:val="00AB5110"/>
    <w:rsid w:val="00AD42F6"/>
    <w:rsid w:val="00AF4127"/>
    <w:rsid w:val="00B00CD5"/>
    <w:rsid w:val="00B25581"/>
    <w:rsid w:val="00B255C9"/>
    <w:rsid w:val="00B30980"/>
    <w:rsid w:val="00B30F92"/>
    <w:rsid w:val="00B34673"/>
    <w:rsid w:val="00B37E64"/>
    <w:rsid w:val="00B43EAC"/>
    <w:rsid w:val="00B508CA"/>
    <w:rsid w:val="00B544D0"/>
    <w:rsid w:val="00B744D2"/>
    <w:rsid w:val="00B74912"/>
    <w:rsid w:val="00BA0B8C"/>
    <w:rsid w:val="00BA6656"/>
    <w:rsid w:val="00BC06CB"/>
    <w:rsid w:val="00BC5A34"/>
    <w:rsid w:val="00BC6C16"/>
    <w:rsid w:val="00BD096F"/>
    <w:rsid w:val="00BF111E"/>
    <w:rsid w:val="00BF2472"/>
    <w:rsid w:val="00C0732C"/>
    <w:rsid w:val="00C11B7B"/>
    <w:rsid w:val="00C25D79"/>
    <w:rsid w:val="00C775DE"/>
    <w:rsid w:val="00CA1688"/>
    <w:rsid w:val="00CA566D"/>
    <w:rsid w:val="00CB3AA0"/>
    <w:rsid w:val="00CB622C"/>
    <w:rsid w:val="00CB7499"/>
    <w:rsid w:val="00CB76EA"/>
    <w:rsid w:val="00CF34E9"/>
    <w:rsid w:val="00CF4ED9"/>
    <w:rsid w:val="00D14FDC"/>
    <w:rsid w:val="00D158FA"/>
    <w:rsid w:val="00D26A45"/>
    <w:rsid w:val="00D65696"/>
    <w:rsid w:val="00D6651E"/>
    <w:rsid w:val="00D76268"/>
    <w:rsid w:val="00D9064B"/>
    <w:rsid w:val="00D9073C"/>
    <w:rsid w:val="00DA1B33"/>
    <w:rsid w:val="00DA33B9"/>
    <w:rsid w:val="00DB0604"/>
    <w:rsid w:val="00DE167E"/>
    <w:rsid w:val="00DF6737"/>
    <w:rsid w:val="00E0219E"/>
    <w:rsid w:val="00E0575D"/>
    <w:rsid w:val="00E212AE"/>
    <w:rsid w:val="00E317C1"/>
    <w:rsid w:val="00E3512B"/>
    <w:rsid w:val="00E47496"/>
    <w:rsid w:val="00E55938"/>
    <w:rsid w:val="00E74234"/>
    <w:rsid w:val="00E81CF5"/>
    <w:rsid w:val="00E85B5E"/>
    <w:rsid w:val="00E85D16"/>
    <w:rsid w:val="00E939F9"/>
    <w:rsid w:val="00E93AF6"/>
    <w:rsid w:val="00EC5132"/>
    <w:rsid w:val="00ED0057"/>
    <w:rsid w:val="00ED1C53"/>
    <w:rsid w:val="00EE1E84"/>
    <w:rsid w:val="00F04FA8"/>
    <w:rsid w:val="00F1636F"/>
    <w:rsid w:val="00F26B3E"/>
    <w:rsid w:val="00F70803"/>
    <w:rsid w:val="00F76AFB"/>
    <w:rsid w:val="00F85AE2"/>
    <w:rsid w:val="00F92728"/>
    <w:rsid w:val="00F93447"/>
    <w:rsid w:val="00FA4C35"/>
    <w:rsid w:val="00FA5445"/>
    <w:rsid w:val="00FB4B7D"/>
    <w:rsid w:val="00FB55B4"/>
    <w:rsid w:val="00FC51DF"/>
    <w:rsid w:val="00FD3EF8"/>
    <w:rsid w:val="00FF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16AF"/>
  <w15:chartTrackingRefBased/>
  <w15:docId w15:val="{6EB56E10-4703-420E-8C38-4783A6D9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E60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D26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81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21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92728"/>
    <w:pPr>
      <w:ind w:left="720"/>
      <w:contextualSpacing/>
    </w:pPr>
  </w:style>
  <w:style w:type="paragraph" w:styleId="Ingenmellomrom">
    <w:name w:val="No Spacing"/>
    <w:link w:val="IngenmellomromTegn"/>
    <w:uiPriority w:val="1"/>
    <w:qFormat/>
    <w:rsid w:val="00C775DE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C775DE"/>
    <w:rPr>
      <w:rFonts w:eastAsiaTheme="minorEastAsia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BA0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A0B8C"/>
  </w:style>
  <w:style w:type="paragraph" w:styleId="Bunntekst">
    <w:name w:val="footer"/>
    <w:basedOn w:val="Normal"/>
    <w:link w:val="BunntekstTegn"/>
    <w:uiPriority w:val="99"/>
    <w:unhideWhenUsed/>
    <w:rsid w:val="00BA0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A0B8C"/>
  </w:style>
  <w:style w:type="character" w:customStyle="1" w:styleId="Overskrift2Tegn">
    <w:name w:val="Overskrift 2 Tegn"/>
    <w:basedOn w:val="Standardskriftforavsnitt"/>
    <w:link w:val="Overskrift2"/>
    <w:uiPriority w:val="9"/>
    <w:rsid w:val="003D26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817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E6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Vedtatt i kommunestyret i Loppa 1.10.91, med endringer vedtatt i sak 5/93, 3/94, 78/97, 60/99, 26/02, 19/03, 44/06, 13/10, 94/12, 12/15 og 45/20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Vedtekter for SFO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Vedtekter for SFO</dc:title>
  <dc:subject>Vedtatt i kommunestyret i Loppa (dato)</dc:subject>
  <dc:creator>Elin Marie Olsen</dc:creator>
  <cp:keywords/>
  <dc:description/>
  <cp:lastModifiedBy>Elin Marie Olsen</cp:lastModifiedBy>
  <cp:revision>6</cp:revision>
  <cp:lastPrinted>2023-11-27T12:16:00Z</cp:lastPrinted>
  <dcterms:created xsi:type="dcterms:W3CDTF">2024-02-20T18:49:00Z</dcterms:created>
  <dcterms:modified xsi:type="dcterms:W3CDTF">2024-02-20T18:56:00Z</dcterms:modified>
</cp:coreProperties>
</file>